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ageBreakBefore w:val="0"/>
        <w:widowControl w:val="0"/>
        <w:numPr>
          <w:ilvl w:val="0"/>
          <w:numId w:val="0"/>
        </w:numPr>
        <w:kinsoku/>
        <w:wordWrap/>
        <w:overflowPunct/>
        <w:topLinePunct w:val="0"/>
        <w:autoSpaceDE/>
        <w:autoSpaceDN/>
        <w:bidi w:val="0"/>
        <w:adjustRightInd/>
        <w:spacing w:after="80" w:line="560" w:lineRule="exact"/>
        <w:jc w:val="both"/>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eastAsia="zh-CN"/>
        </w:rPr>
        <w:t>附件</w:t>
      </w:r>
      <w:r>
        <w:rPr>
          <w:rFonts w:hint="eastAsia" w:ascii="黑体" w:hAnsi="黑体" w:eastAsia="黑体" w:cs="黑体"/>
          <w:b w:val="0"/>
          <w:bCs w:val="0"/>
          <w:sz w:val="32"/>
          <w:szCs w:val="32"/>
          <w:lang w:val="en-US" w:eastAsia="zh-CN"/>
        </w:rPr>
        <w:t>1-</w:t>
      </w:r>
      <w:r>
        <w:rPr>
          <w:rFonts w:hint="eastAsia" w:ascii="黑体" w:hAnsi="黑体" w:eastAsia="黑体" w:cs="黑体"/>
          <w:b w:val="0"/>
          <w:bCs w:val="0"/>
          <w:sz w:val="32"/>
          <w:szCs w:val="32"/>
          <w:lang w:val="en-US" w:eastAsia="zh-CN"/>
        </w:rPr>
        <w:t>2</w:t>
      </w:r>
      <w:r>
        <w:rPr>
          <w:rFonts w:hint="eastAsia" w:ascii="黑体" w:hAnsi="黑体" w:eastAsia="黑体" w:cs="黑体"/>
          <w:b w:val="0"/>
          <w:bCs w:val="0"/>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kern w:val="0"/>
          <w:sz w:val="44"/>
          <w:szCs w:val="44"/>
          <w:shd w:val="clear" w:color="auto" w:fill="auto"/>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imes New Roman" w:hAnsi="Times New Roman" w:eastAsia="方正小标宋简体" w:cs="方正小标宋简体"/>
          <w:b w:val="0"/>
          <w:bCs/>
          <w:kern w:val="0"/>
          <w:sz w:val="44"/>
          <w:szCs w:val="44"/>
          <w:shd w:val="clear" w:color="auto" w:fill="auto"/>
          <w:lang w:val="en-US" w:eastAsia="zh-CN"/>
        </w:rPr>
      </w:pPr>
      <w:r>
        <w:rPr>
          <w:rFonts w:hint="eastAsia" w:ascii="Times New Roman" w:hAnsi="Times New Roman" w:eastAsia="方正小标宋简体" w:cs="方正小标宋简体"/>
          <w:b w:val="0"/>
          <w:bCs/>
          <w:kern w:val="0"/>
          <w:sz w:val="44"/>
          <w:szCs w:val="44"/>
          <w:shd w:val="clear" w:color="auto" w:fill="auto"/>
          <w:lang w:val="en-US" w:eastAsia="zh-CN"/>
        </w:rPr>
        <w:t>企业评价规范申报条件</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shd w:val="clear" w:color="auto" w:fill="auto"/>
          <w:lang w:val="en-US" w:eastAsia="zh-CN"/>
        </w:rPr>
      </w:pP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auto"/>
          <w:sz w:val="32"/>
          <w:szCs w:val="32"/>
          <w:highlight w:val="none"/>
          <w:shd w:val="clear" w:color="auto" w:fill="auto"/>
          <w:lang w:val="en-US" w:eastAsia="zh-CN"/>
        </w:rPr>
      </w:pPr>
      <w:r>
        <w:rPr>
          <w:rFonts w:hint="eastAsia" w:ascii="Times New Roman" w:hAnsi="Times New Roman" w:eastAsia="仿宋" w:cs="仿宋"/>
          <w:b/>
          <w:bCs/>
          <w:color w:val="auto"/>
          <w:sz w:val="32"/>
          <w:szCs w:val="32"/>
          <w:highlight w:val="none"/>
          <w:shd w:val="clear" w:color="auto" w:fill="auto"/>
          <w:lang w:val="en-US" w:eastAsia="zh-CN"/>
        </w:rPr>
        <w:t>1. 具备以下条件之一者，可申报五级/初级工：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（1）新招录职工应当为试用期满并完成企业定岗手续；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w:t>
      </w:r>
      <w:bookmarkStart w:id="0" w:name="_GoBack"/>
      <w:bookmarkEnd w:id="0"/>
      <w:r>
        <w:rPr>
          <w:rFonts w:hint="eastAsia" w:ascii="Times New Roman" w:hAnsi="Times New Roman" w:eastAsia="仿宋_GB2312" w:cs="仿宋_GB2312"/>
          <w:sz w:val="32"/>
          <w:szCs w:val="32"/>
          <w:shd w:val="clear" w:color="auto" w:fill="auto"/>
          <w:lang w:val="en-US" w:eastAsia="zh-CN"/>
        </w:rPr>
        <w:t>2）未定级的职工应当在本企业工作（含连续工作满一年以上的劳务派遣职工）。</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auto"/>
          <w:sz w:val="32"/>
          <w:szCs w:val="32"/>
          <w:highlight w:val="none"/>
          <w:shd w:val="clear" w:color="auto" w:fill="auto"/>
          <w:lang w:val="en-US" w:eastAsia="zh-CN"/>
        </w:rPr>
      </w:pPr>
      <w:r>
        <w:rPr>
          <w:rFonts w:hint="eastAsia" w:ascii="Times New Roman" w:hAnsi="Times New Roman" w:eastAsia="仿宋" w:cs="仿宋"/>
          <w:b/>
          <w:bCs/>
          <w:color w:val="auto"/>
          <w:sz w:val="32"/>
          <w:szCs w:val="32"/>
          <w:highlight w:val="none"/>
          <w:shd w:val="clear" w:color="auto" w:fill="auto"/>
          <w:lang w:val="en-US" w:eastAsia="zh-CN"/>
        </w:rPr>
        <w:t>2. 具备以下条件之一者，可申报四级/中级工：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（1）累计从事本职业或相关职业工作满5年；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（2）获得县级及以上政府部门颁发技能荣誉或获评企业年度考核优秀表彰荣誉1次及以上，或连续3年完成企业规定的KPI指标、业绩考核指标，累计从事本职业或相关职业工作满3年；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3）取得本职业或相关职业五级/初级工职业资格（职业技能等级）证书后，累计从事本职业或相关职业工作满3年；或取得本职业或相关职业五级/初级工职业资格（职业技能等级）证书后，在企业相关岗位连续2年完成规定的KPI指标、业绩考核指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（4）取得本专业或相关专业的技工院校或中等及以上职业院校、专科及以上普通高等学校毕业证书，试用期满并完成企业定岗手续。</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auto"/>
          <w:sz w:val="32"/>
          <w:szCs w:val="32"/>
          <w:highlight w:val="none"/>
          <w:shd w:val="clear" w:color="auto" w:fill="auto"/>
          <w:lang w:val="en-US" w:eastAsia="zh-CN"/>
        </w:rPr>
      </w:pPr>
      <w:r>
        <w:rPr>
          <w:rFonts w:hint="eastAsia" w:ascii="Times New Roman" w:hAnsi="Times New Roman" w:eastAsia="仿宋" w:cs="仿宋"/>
          <w:b/>
          <w:bCs/>
          <w:color w:val="auto"/>
          <w:sz w:val="32"/>
          <w:szCs w:val="32"/>
          <w:highlight w:val="none"/>
          <w:shd w:val="clear" w:color="auto" w:fill="auto"/>
          <w:lang w:val="en-US" w:eastAsia="zh-CN"/>
        </w:rPr>
        <w:t>3. 具备以下条件之一者，可申报三级/高级工：</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（1）累计从事本职业或相关职业满10年，掌握高技能、复合技能且业绩优良；</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（2）获得县级及以上政府部门颁发技能荣誉或获评企业年度考核优秀表彰荣誉2次及以上，或连续3年完成企业规定的KPI指标、业绩考核指标，累计从事本职业或相关专业满6年；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3）取得本职业或相关职业四级/中级工职业资格（职业技能等级）证书后，累计从事本职业或相关职业工作满4年；或取得本职业或相关职业四级/中级工职业资格（职业技能等级）证书后，在企业相关岗位连续3年完成规定的KPI指标、业绩考核指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 xml:space="preserve">（4）取得符合专业对应关系的初级职称（专业技术人员职业资格）后，累计从事本职业或相关职业工作满1年； </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（5）取得本专业或相关专业的技工院校高级工班及以上毕业证书，试用期满并完成企业定岗手续；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（6）取得本职业或相关职业四级/中级工职业资格（职业技能等级）证书，并取得高等职业学校、专科及以上普通高等学校本专业或相关专业毕业证书，试用期满并完成企业定岗手续；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（7）取得经评估论证的高等职业学校、专科及以上普通高等学校本专业或相关专业的毕业证书，试用期满并完成企业定岗手续；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（8）创新优化岗位效能的（如小改进、小提高、小创新、小成果等），经企业认可，促进企业生产效率或经济效益显著提升；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（9）职工业绩考核连续3年超过企业规定的年度个人KPI指标或业绩指标20%及以上；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（10）连续3年凭技能和业绩，获评企业年度“先进工作者”“优秀标兵”“优秀员工”等表彰荣誉；</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（11）在集团总公司或县级及以上高级工级别技能竞赛、技术比武、岗位练兵等活动中获得优胜奖及以上奖励；</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（12）以“传、帮、带”等形式为本企业培养出3名及以上中级工并被本企业聘用至相应一线技术技能岗位满2年及以上。</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auto"/>
          <w:sz w:val="32"/>
          <w:szCs w:val="32"/>
          <w:highlight w:val="none"/>
          <w:shd w:val="clear" w:color="auto" w:fill="auto"/>
          <w:lang w:val="en-US" w:eastAsia="zh-CN"/>
        </w:rPr>
      </w:pPr>
      <w:r>
        <w:rPr>
          <w:rFonts w:hint="eastAsia" w:ascii="Times New Roman" w:hAnsi="Times New Roman" w:eastAsia="仿宋" w:cs="仿宋"/>
          <w:b/>
          <w:bCs/>
          <w:color w:val="auto"/>
          <w:sz w:val="32"/>
          <w:szCs w:val="32"/>
          <w:highlight w:val="none"/>
          <w:shd w:val="clear" w:color="auto" w:fill="auto"/>
          <w:lang w:val="en-US" w:eastAsia="zh-CN"/>
        </w:rPr>
        <w:t>4. 具备以下条件之一者，可申报二级/技师：</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取得本职业或相关职业三级/高级工职业资格（职业技能等级）证书后，累计从事本职业或相关职业工作满5年或取得本职业或相关职业三级/高级工职业资格（职业技能等级）证书后，在企业相关岗位连续3年完成规定的KPI指标、业绩考核指标；</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2）取得符合专业对应关系的初级职称（专业技术人员职业资格）后，累计从事本职业或相关职业工作满5年，并在取得本职业或相关职业三级/高级工职业资格（职业技能等级）证书后，从事本职业或相关职业工作满1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（3）取得符合专业对应关系的中级职称（专业技术人员职业资格）后，累计从事本职业或相关职业工作满1年；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（4）取得本职业或相关职业三级/高级工职业资格（职业技能等级）证书的高级技工学校、技师学院毕业生，累计从事本职业或相关职业工作满2年；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（5）取得本职业或相关职业三级/高级工职业资格（职业技能等级）证书满2年，并取得技师学院预备技师班、技师班毕业证书，试用期满并完成企业定岗手续；</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（6）领办企业自动化改造、“智慧车间”等重大项目或带领工作团队解决重要疑难杂症，经企业认可，为企业“智改数转”发挥重要作用；</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（7）在省级及以上技师级别技能竞赛、技术比武、岗位练兵等活动中获得优胜奖及以上奖励；</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（8）以“传、帮、带”等形式为本企业培养出3名及以上高级工并被本企业聘用至相应一线技术技能岗位满2年及以上；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（9）经企业认可，牵头实施技能攻关为企业创造经济效益500万元人民币及以上的；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（10）经企业认可，对重大生产设备能及时消化吸收技术并有效驾驭，突破技术瓶颈，保障全流程生产顺利开展；</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（11）牵头开展技术创新、发明、改造、推广、应用等获得市级三等奖以上并成功用于企业生产；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（12）获评“广东省技术能手”等省级技能荣誉或市级“劳动模范”“五一劳动奖章”等重要荣誉。</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3" w:firstLineChars="200"/>
        <w:textAlignment w:val="auto"/>
        <w:rPr>
          <w:rFonts w:hint="eastAsia" w:ascii="Times New Roman" w:hAnsi="Times New Roman" w:eastAsia="仿宋" w:cs="仿宋"/>
          <w:b/>
          <w:bCs/>
          <w:color w:val="auto"/>
          <w:sz w:val="32"/>
          <w:szCs w:val="32"/>
          <w:highlight w:val="none"/>
          <w:shd w:val="clear" w:color="auto" w:fill="auto"/>
          <w:lang w:val="en-US" w:eastAsia="zh-CN"/>
        </w:rPr>
      </w:pPr>
      <w:r>
        <w:rPr>
          <w:rFonts w:hint="eastAsia" w:ascii="Times New Roman" w:hAnsi="Times New Roman" w:eastAsia="仿宋" w:cs="仿宋"/>
          <w:b/>
          <w:bCs/>
          <w:color w:val="auto"/>
          <w:sz w:val="32"/>
          <w:szCs w:val="32"/>
          <w:highlight w:val="none"/>
          <w:shd w:val="clear" w:color="auto" w:fill="auto"/>
          <w:lang w:val="en-US" w:eastAsia="zh-CN"/>
        </w:rPr>
        <w:t>5. 具备以下条件之一者，可申报一级/高级技师：</w:t>
      </w:r>
    </w:p>
    <w:p>
      <w:pPr>
        <w:pStyle w:val="3"/>
        <w:keepNext w:val="0"/>
        <w:keepLines w:val="0"/>
        <w:pageBreakBefore w:val="0"/>
        <w:widowControl w:val="0"/>
        <w:kinsoku/>
        <w:wordWrap/>
        <w:overflowPunct/>
        <w:topLinePunct w:val="0"/>
        <w:autoSpaceDE/>
        <w:autoSpaceDN/>
        <w:bidi w:val="0"/>
        <w:adjustRightInd/>
        <w:snapToGrid/>
        <w:spacing w:after="0" w:line="560" w:lineRule="exact"/>
        <w:ind w:firstLine="640" w:firstLineChars="200"/>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（1）取得本职业或相关职业二级/技师职业资格（职业技能等级）证书后，累计从事本职业或相关职业工作满5年；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（2）取得符合专业对应关系的中级职称后，累计从事本职业或相关职业工作满5年，并在取得本职业或相关职业二级/技师职业资格（职业技能等级）证书后，从事本职业或相关职业工作满1年；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（3）取得符合专业对应关系的高级职称（专业技术人员职业资格）后，累计从事本职业或相关职业工作满1年；</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（4）经企业认可，牵头实施技能攻关为企业创造经济效益1000万元人民币及以上的；</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（5）经企业认可，对重大生产设备进行原创性设计、改造、创新，推动工艺改进、能源节省、材料革新等，并实现重大经济收益；</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（6）牵头开展技术创新、发明、改造、推广、应用等获得市级一等奖以上并成功用于企业生产；</w:t>
      </w:r>
    </w:p>
    <w:p>
      <w:pPr>
        <w:keepNext w:val="0"/>
        <w:keepLines w:val="0"/>
        <w:pageBreakBefore w:val="0"/>
        <w:widowControl/>
        <w:kinsoku/>
        <w:wordWrap/>
        <w:overflowPunct/>
        <w:topLinePunct w:val="0"/>
        <w:autoSpaceDE/>
        <w:autoSpaceDN/>
        <w:bidi w:val="0"/>
        <w:adjustRightInd/>
        <w:snapToGrid/>
        <w:spacing w:line="560" w:lineRule="exact"/>
        <w:ind w:firstLine="640" w:firstLineChars="200"/>
        <w:jc w:val="left"/>
        <w:textAlignment w:val="auto"/>
        <w:rPr>
          <w:rFonts w:hint="eastAsia" w:ascii="Times New Roman" w:hAnsi="Times New Roman" w:eastAsia="仿宋_GB2312" w:cs="仿宋_GB2312"/>
          <w:sz w:val="32"/>
          <w:szCs w:val="32"/>
          <w:shd w:val="clear" w:color="auto" w:fill="auto"/>
          <w:lang w:val="en-US" w:eastAsia="zh-CN"/>
        </w:rPr>
      </w:pPr>
      <w:r>
        <w:rPr>
          <w:rFonts w:hint="eastAsia" w:ascii="Times New Roman" w:hAnsi="Times New Roman" w:eastAsia="仿宋_GB2312" w:cs="仿宋_GB2312"/>
          <w:sz w:val="32"/>
          <w:szCs w:val="32"/>
          <w:shd w:val="clear" w:color="auto" w:fill="auto"/>
          <w:lang w:val="en-US" w:eastAsia="zh-CN"/>
        </w:rPr>
        <w:t>（7）获评“全国技术能手”“南粤技术能手”“劳动模范”“五一劳动奖章”等省级及以上技能荣誉或重要荣誉。</w:t>
      </w:r>
    </w:p>
    <w:p>
      <w:pPr>
        <w:keepNext w:val="0"/>
        <w:keepLines w:val="0"/>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仿宋_GB2312" w:cs="仿宋_GB2312"/>
          <w:sz w:val="32"/>
          <w:szCs w:val="32"/>
          <w:shd w:val="clear" w:color="auto" w:fil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CF6395"/>
    <w:multiLevelType w:val="multilevel"/>
    <w:tmpl w:val="27CF6395"/>
    <w:lvl w:ilvl="0" w:tentative="0">
      <w:start w:val="1"/>
      <w:numFmt w:val="chineseCountingThousand"/>
      <w:pStyle w:val="2"/>
      <w:lvlText w:val="%1、"/>
      <w:lvlJc w:val="left"/>
      <w:pPr>
        <w:tabs>
          <w:tab w:val="left" w:pos="420"/>
        </w:tabs>
        <w:ind w:left="420"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4ZDJkYjExZjU4MGI1OTgxZjM4MDU4ZDc0MmY4OGMifQ=="/>
  </w:docVars>
  <w:rsids>
    <w:rsidRoot w:val="00000000"/>
    <w:rsid w:val="0AB17507"/>
    <w:rsid w:val="0E5D717C"/>
    <w:rsid w:val="110B7E38"/>
    <w:rsid w:val="21090977"/>
    <w:rsid w:val="23DB5382"/>
    <w:rsid w:val="25494795"/>
    <w:rsid w:val="2C2E01D8"/>
    <w:rsid w:val="36846182"/>
    <w:rsid w:val="379C3A2E"/>
    <w:rsid w:val="4FB31200"/>
    <w:rsid w:val="566254DE"/>
    <w:rsid w:val="7F0D2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2"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3"/>
    <w:qFormat/>
    <w:uiPriority w:val="0"/>
    <w:pPr>
      <w:keepNext/>
      <w:keepLines/>
      <w:numPr>
        <w:ilvl w:val="0"/>
        <w:numId w:val="1"/>
      </w:numPr>
      <w:outlineLvl w:val="1"/>
    </w:pPr>
    <w:rPr>
      <w:rFonts w:ascii="Arial" w:hAnsi="Arial" w:eastAsia="黑体"/>
      <w:b/>
      <w:bCs/>
      <w:sz w:val="28"/>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pPr>
    <w:rPr>
      <w:rFonts w:ascii="Calibri" w:hAnsi="Calibri" w:eastAsia="宋体" w:cs="Times New Roman"/>
    </w:rPr>
  </w:style>
  <w:style w:type="paragraph" w:styleId="4">
    <w:name w:val="Normal Indent"/>
    <w:basedOn w:val="1"/>
    <w:qFormat/>
    <w:uiPriority w:val="0"/>
    <w:pPr>
      <w:ind w:firstLine="420" w:firstLineChars="200"/>
    </w:pPr>
  </w:style>
  <w:style w:type="paragraph" w:styleId="5">
    <w:name w:val="index 5"/>
    <w:basedOn w:val="1"/>
    <w:next w:val="1"/>
    <w:qFormat/>
    <w:uiPriority w:val="2"/>
    <w:pPr>
      <w:ind w:left="1680"/>
    </w:pPr>
  </w:style>
  <w:style w:type="paragraph" w:styleId="6">
    <w:name w:val="footer"/>
    <w:basedOn w:val="1"/>
    <w:next w:val="5"/>
    <w:qFormat/>
    <w:uiPriority w:val="0"/>
    <w:pPr>
      <w:snapToGrid w:val="0"/>
      <w:jc w:val="left"/>
    </w:pPr>
    <w:rPr>
      <w:rFonts w:ascii="Calibri" w:hAnsi="Calibri" w:eastAsia="宋体" w:cs="Times New Roman"/>
      <w:sz w:val="18"/>
    </w:rPr>
  </w:style>
  <w:style w:type="paragraph" w:customStyle="1" w:styleId="9">
    <w:name w:val="Heading2"/>
    <w:next w:val="1"/>
    <w:qFormat/>
    <w:uiPriority w:val="0"/>
    <w:pPr>
      <w:keepNext/>
      <w:keepLines/>
      <w:widowControl w:val="0"/>
      <w:spacing w:before="260" w:beforeLines="0" w:after="260" w:afterLines="0" w:line="413" w:lineRule="auto"/>
      <w:jc w:val="both"/>
      <w:textAlignment w:val="baseline"/>
    </w:pPr>
    <w:rPr>
      <w:rFonts w:ascii="Arial" w:hAnsi="Arial" w:eastAsia="黑体" w:cs="Times New Roman"/>
      <w:b/>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lenovo_002</dc:creator>
  <cp:lastModifiedBy>ou</cp:lastModifiedBy>
  <dcterms:modified xsi:type="dcterms:W3CDTF">2026-08-28T02:05:03Z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330C7F0C69FC4798B2A31C9F8F61E7B9_12</vt:lpwstr>
  </property>
</Properties>
</file>